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185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1855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7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Powell Jeffrey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KADANT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TECHNOLOGY PARK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KADANT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KAI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4"/>
          <w:szCs w:val="24"/>
          <w:color w:val="auto"/>
        </w:rPr>
      </w:pPr>
    </w:p>
    <w:p>
      <w:pPr>
        <w:sectPr>
          <w:pgSz w:w="11900" w:h="16838" w:orient="portrait"/>
          <w:cols w:equalWidth="0" w:num="3">
            <w:col w:w="3200" w:space="720"/>
            <w:col w:w="3095" w:space="720"/>
            <w:col w:w="3265"/>
          </w:cols>
          <w:pgMar w:left="460" w:top="219" w:right="439" w:bottom="726"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WESTFORD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01886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726"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06/03/2026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12,282</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right"/>
              <w:ind w:right="454"/>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9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Jeffrey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 Powell,</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and his</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Successors,</w:t>
            </w:r>
          </w:p>
        </w:tc>
        <w:tc>
          <w:tcPr>
            <w:tcW w:w="0" w:type="dxa"/>
            <w:vAlign w:val="bottom"/>
          </w:tcPr>
          <w:p>
            <w:pPr>
              <w:spacing w:after="0"/>
              <w:rPr>
                <w:sz w:val="1"/>
                <w:szCs w:val="1"/>
                <w:color w:val="auto"/>
              </w:rPr>
            </w:pPr>
          </w:p>
        </w:tc>
      </w:tr>
      <w:tr>
        <w:trPr>
          <w:trHeight w:val="23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0000FF"/>
              </w:rPr>
              <w:t>60,949</w:t>
            </w:r>
          </w:p>
        </w:tc>
        <w:tc>
          <w:tcPr>
            <w:tcW w:w="920" w:type="dxa"/>
            <w:vAlign w:val="bottom"/>
          </w:tcPr>
          <w:p>
            <w:pPr>
              <w:ind w:left="360"/>
              <w:spacing w:after="0" w:line="233" w:lineRule="exact"/>
              <w:rPr>
                <w:sz w:val="20"/>
                <w:szCs w:val="20"/>
                <w:color w:val="auto"/>
              </w:rPr>
            </w:pPr>
            <w:r>
              <w:rPr>
                <w:rFonts w:ascii="Times New Roman" w:cs="Times New Roman" w:eastAsia="Times New Roman" w:hAnsi="Times New Roman"/>
                <w:sz w:val="27"/>
                <w:szCs w:val="27"/>
                <w:color w:val="0000FF"/>
                <w:vertAlign w:val="subscript"/>
              </w:rPr>
              <w:t>I</w:t>
            </w:r>
            <w:r>
              <w:rPr>
                <w:rFonts w:ascii="Times New Roman" w:cs="Times New Roman" w:eastAsia="Times New Roman" w:hAnsi="Times New Roman"/>
                <w:sz w:val="10"/>
                <w:szCs w:val="10"/>
                <w:color w:val="008000"/>
              </w:rPr>
              <w:t>(1)</w:t>
            </w: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as Trustee</w:t>
            </w:r>
          </w:p>
        </w:tc>
        <w:tc>
          <w:tcPr>
            <w:tcW w:w="0" w:type="dxa"/>
            <w:vAlign w:val="bottom"/>
          </w:tcPr>
          <w:p>
            <w:pPr>
              <w:spacing w:after="0"/>
              <w:rPr>
                <w:sz w:val="1"/>
                <w:szCs w:val="1"/>
                <w:color w:val="auto"/>
              </w:rPr>
            </w:pPr>
          </w:p>
        </w:tc>
      </w:tr>
    </w:tbl>
    <w:p>
      <w:pPr>
        <w:ind w:left="10080"/>
        <w:spacing w:after="0"/>
        <w:rPr>
          <w:sz w:val="20"/>
          <w:szCs w:val="20"/>
          <w:color w:val="auto"/>
        </w:rPr>
      </w:pPr>
      <w:r>
        <w:rPr>
          <w:rFonts w:ascii="Times New Roman" w:cs="Times New Roman" w:eastAsia="Times New Roman" w:hAnsi="Times New Roman"/>
          <w:sz w:val="17"/>
          <w:szCs w:val="17"/>
          <w:color w:val="0000FF"/>
        </w:rPr>
        <w:t>of the</w:t>
      </w:r>
    </w:p>
    <w:p>
      <w:pPr>
        <w:spacing w:after="0" w:line="11" w:lineRule="exact"/>
        <w:rPr>
          <w:sz w:val="24"/>
          <w:szCs w:val="24"/>
          <w:color w:val="auto"/>
        </w:rPr>
      </w:pPr>
    </w:p>
    <w:p>
      <w:pPr>
        <w:ind w:left="10080"/>
        <w:spacing w:after="0"/>
        <w:rPr>
          <w:sz w:val="20"/>
          <w:szCs w:val="20"/>
          <w:color w:val="auto"/>
        </w:rPr>
      </w:pPr>
      <w:r>
        <w:rPr>
          <w:rFonts w:ascii="Times New Roman" w:cs="Times New Roman" w:eastAsia="Times New Roman" w:hAnsi="Times New Roman"/>
          <w:sz w:val="17"/>
          <w:szCs w:val="17"/>
          <w:color w:val="0000FF"/>
        </w:rPr>
        <w:t>Jeffrey L.</w:t>
      </w:r>
    </w:p>
    <w:p>
      <w:pPr>
        <w:spacing w:after="0" w:line="18" w:lineRule="exact"/>
        <w:rPr>
          <w:sz w:val="24"/>
          <w:szCs w:val="24"/>
          <w:color w:val="auto"/>
        </w:rPr>
      </w:pPr>
    </w:p>
    <w:p>
      <w:pPr>
        <w:ind w:left="10080"/>
        <w:spacing w:after="0"/>
        <w:rPr>
          <w:sz w:val="20"/>
          <w:szCs w:val="20"/>
          <w:color w:val="auto"/>
        </w:rPr>
      </w:pPr>
      <w:r>
        <w:rPr>
          <w:rFonts w:ascii="Times New Roman" w:cs="Times New Roman" w:eastAsia="Times New Roman" w:hAnsi="Times New Roman"/>
          <w:sz w:val="17"/>
          <w:szCs w:val="17"/>
          <w:color w:val="0000FF"/>
        </w:rPr>
        <w:t>Powell</w:t>
      </w:r>
    </w:p>
    <w:p>
      <w:pPr>
        <w:spacing w:after="0" w:line="18" w:lineRule="exact"/>
        <w:rPr>
          <w:sz w:val="24"/>
          <w:szCs w:val="24"/>
          <w:color w:val="auto"/>
        </w:rPr>
      </w:pPr>
    </w:p>
    <w:p>
      <w:pPr>
        <w:ind w:left="10080"/>
        <w:spacing w:after="0"/>
        <w:rPr>
          <w:sz w:val="20"/>
          <w:szCs w:val="20"/>
          <w:color w:val="auto"/>
        </w:rPr>
      </w:pPr>
      <w:r>
        <w:rPr>
          <w:rFonts w:ascii="Times New Roman" w:cs="Times New Roman" w:eastAsia="Times New Roman" w:hAnsi="Times New Roman"/>
          <w:sz w:val="17"/>
          <w:szCs w:val="17"/>
          <w:color w:val="0000FF"/>
        </w:rPr>
        <w:t>Revocable</w:t>
      </w:r>
    </w:p>
    <w:p>
      <w:pPr>
        <w:spacing w:after="0" w:line="18" w:lineRule="exact"/>
        <w:rPr>
          <w:sz w:val="24"/>
          <w:szCs w:val="24"/>
          <w:color w:val="auto"/>
        </w:rPr>
      </w:pPr>
    </w:p>
    <w:p>
      <w:pPr>
        <w:ind w:left="1008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4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3, 2026, the reporting person transferred 12,282 shares of Kadant Inc. common stock to Jeffrey L. Powell, and his Successors, as Trustee of the Jeffrey L. Powell Revocable Trust, for no consideration. The reporting person is the trustee of the trust, and the reporting person and members of his immediate family are the sole beneficiaries of the trust. The reporting person remains the beneficial owner of the securites held by the trust.</w:t>
      </w:r>
    </w:p>
    <w:p>
      <w:pPr>
        <w:sectPr>
          <w:pgSz w:w="11900" w:h="16838" w:orient="portrait"/>
          <w:cols w:equalWidth="0" w:num="1">
            <w:col w:w="11000"/>
          </w:cols>
          <w:pgMar w:left="460" w:top="219" w:right="439" w:bottom="726"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D. Krause,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79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220"/>
          </w:cols>
          <w:pgMar w:left="460" w:top="219" w:right="439" w:bottom="726"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7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06518" TargetMode="External"/><Relationship Id="rId14" Type="http://schemas.openxmlformats.org/officeDocument/2006/relationships/hyperlink" Target="http://www.sec.gov/cgi-bin/browse-edgar?action=getcompany&amp;CIK=0000886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2026-06-03T15:07:40Z</dcterms:created>
  <dcterms:modified xsi:type="dcterms:W3CDTF">2026-06-03T15:07:40Z</dcterms:modified>
</cp:coreProperties>
</file>