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840"/>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32"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30" w:lineRule="exact"/>
        <w:rPr>
          <w:sz w:val="24"/>
          <w:szCs w:val="24"/>
          <w:color w:val="auto"/>
        </w:rPr>
      </w:pPr>
    </w:p>
    <w:p>
      <w:pPr>
        <w:ind w:left="2560"/>
        <w:spacing w:after="0"/>
        <w:rPr>
          <w:sz w:val="20"/>
          <w:szCs w:val="20"/>
          <w:color w:val="auto"/>
        </w:rPr>
      </w:pPr>
      <w:r>
        <w:rPr>
          <w:rFonts w:ascii="Times New Roman" w:cs="Times New Roman" w:eastAsia="Times New Roman" w:hAnsi="Times New Roman"/>
          <w:sz w:val="19"/>
          <w:szCs w:val="19"/>
          <w:b w:val="1"/>
          <w:bCs w:val="1"/>
          <w:color w:val="auto"/>
        </w:rPr>
        <w:t>______________________________________________________________</w:t>
      </w:r>
    </w:p>
    <w:p>
      <w:pPr>
        <w:spacing w:after="0" w:line="200" w:lineRule="exact"/>
        <w:rPr>
          <w:sz w:val="24"/>
          <w:szCs w:val="24"/>
          <w:color w:val="auto"/>
        </w:rPr>
      </w:pPr>
    </w:p>
    <w:p>
      <w:pPr>
        <w:spacing w:after="0" w:line="29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FORM 8-K</w:t>
      </w:r>
    </w:p>
    <w:p>
      <w:pPr>
        <w:spacing w:after="0" w:line="25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26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3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Date of report (Date of earliest event reported): May 20, 2026</w:t>
      </w:r>
    </w:p>
    <w:p>
      <w:pPr>
        <w:spacing w:after="0" w:line="23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3"/>
          <w:szCs w:val="43"/>
          <w:b w:val="1"/>
          <w:bCs w:val="1"/>
          <w:color w:val="auto"/>
        </w:rPr>
        <w:t>KADANT INC.</w:t>
      </w:r>
    </w:p>
    <w:p>
      <w:pPr>
        <w:spacing w:after="0" w:line="5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ectPr>
          <w:pgSz w:w="11900" w:h="16838" w:orient="portrait"/>
          <w:cols w:equalWidth="0" w:num="1">
            <w:col w:w="11220"/>
          </w:cols>
          <w:pgMar w:left="320" w:top="990" w:right="359" w:bottom="1440" w:gutter="0" w:footer="0" w:header="0"/>
        </w:sectPr>
      </w:pPr>
    </w:p>
    <w:p>
      <w:pPr>
        <w:spacing w:after="0" w:line="4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Delaware</w:t>
      </w:r>
    </w:p>
    <w:p>
      <w:pPr>
        <w:spacing w:after="0" w:line="20" w:lineRule="exact"/>
        <w:rPr>
          <w:sz w:val="24"/>
          <w:szCs w:val="24"/>
          <w:color w:val="auto"/>
        </w:rPr>
      </w:pPr>
      <w:r>
        <w:rPr>
          <w:sz w:val="24"/>
          <w:szCs w:val="24"/>
          <w:color w:val="auto"/>
        </w:rPr>
        <w:br w:type="column"/>
      </w:r>
    </w:p>
    <w:p>
      <w:pPr>
        <w:spacing w:after="0" w:line="23" w:lineRule="exact"/>
        <w:rPr>
          <w:sz w:val="24"/>
          <w:szCs w:val="24"/>
          <w:color w:val="auto"/>
        </w:rPr>
      </w:pPr>
    </w:p>
    <w:p>
      <w:pPr>
        <w:jc w:val="center"/>
        <w:ind w:right="3560"/>
        <w:spacing w:after="0"/>
        <w:rPr>
          <w:sz w:val="20"/>
          <w:szCs w:val="20"/>
          <w:color w:val="auto"/>
        </w:rPr>
      </w:pPr>
      <w:r>
        <w:rPr>
          <w:rFonts w:ascii="Times New Roman" w:cs="Times New Roman" w:eastAsia="Times New Roman" w:hAnsi="Times New Roman"/>
          <w:sz w:val="17"/>
          <w:szCs w:val="17"/>
          <w:color w:val="auto"/>
        </w:rPr>
        <w:t>001-11406</w:t>
      </w:r>
    </w:p>
    <w:p>
      <w:pPr>
        <w:spacing w:after="0" w:line="20" w:lineRule="exact"/>
        <w:rPr>
          <w:sz w:val="24"/>
          <w:szCs w:val="24"/>
          <w:color w:val="auto"/>
        </w:rPr>
      </w:pPr>
      <w:r>
        <w:rPr>
          <w:sz w:val="24"/>
          <w:szCs w:val="24"/>
          <w:color w:val="auto"/>
        </w:rPr>
        <w:br w:type="column"/>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52-1762325</w:t>
      </w:r>
    </w:p>
    <w:p>
      <w:pPr>
        <w:spacing w:after="0" w:line="38" w:lineRule="exact"/>
        <w:rPr>
          <w:sz w:val="24"/>
          <w:szCs w:val="24"/>
          <w:color w:val="auto"/>
        </w:rPr>
      </w:pPr>
    </w:p>
    <w:p>
      <w:pPr>
        <w:sectPr>
          <w:pgSz w:w="11900" w:h="16838" w:orient="portrait"/>
          <w:cols w:equalWidth="0" w:num="3">
            <w:col w:w="4580" w:space="720"/>
            <w:col w:w="4340" w:space="720"/>
            <w:col w:w="860"/>
          </w:cols>
          <w:pgMar w:left="320" w:top="990" w:right="35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4"/>
          <w:szCs w:val="14"/>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200" w:lineRule="exact"/>
        <w:rPr>
          <w:sz w:val="24"/>
          <w:szCs w:val="24"/>
          <w:color w:val="auto"/>
        </w:rPr>
      </w:pPr>
    </w:p>
    <w:p>
      <w:pPr>
        <w:sectPr>
          <w:pgSz w:w="11900" w:h="16838" w:orient="portrait"/>
          <w:cols w:equalWidth="0" w:num="3">
            <w:col w:w="4160" w:space="720"/>
            <w:col w:w="3640" w:space="720"/>
            <w:col w:w="1980"/>
          </w:cols>
          <w:pgMar w:left="320" w:top="990" w:right="359" w:bottom="1440" w:gutter="0" w:footer="0" w:header="0"/>
          <w:type w:val="continuous"/>
        </w:sectPr>
      </w:pPr>
    </w:p>
    <w:p>
      <w:pPr>
        <w:spacing w:after="0" w:line="14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One Technology Park Drive</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Westford, Massachusetts 01886</w:t>
      </w:r>
    </w:p>
    <w:p>
      <w:pPr>
        <w:spacing w:after="0" w:line="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(Address of principal executive offices, including zip code)</w:t>
      </w:r>
    </w:p>
    <w:p>
      <w:pPr>
        <w:spacing w:after="0" w:line="24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(978) 776-2000</w:t>
      </w:r>
    </w:p>
    <w:p>
      <w:pPr>
        <w:spacing w:after="0" w:line="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24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Not Applicable</w:t>
      </w:r>
    </w:p>
    <w:p>
      <w:pPr>
        <w:spacing w:after="0" w:line="2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(Former Name or Former Address, if Changed Since Last Report)</w:t>
      </w:r>
    </w:p>
    <w:p>
      <w:pPr>
        <w:sectPr>
          <w:pgSz w:w="11900" w:h="16838" w:orient="portrait"/>
          <w:cols w:equalWidth="0" w:num="1">
            <w:col w:w="11220"/>
          </w:cols>
          <w:pgMar w:left="320" w:top="990" w:right="359" w:bottom="1440" w:gutter="0" w:footer="0" w:header="0"/>
          <w:type w:val="continuous"/>
        </w:sectPr>
      </w:pPr>
    </w:p>
    <w:p>
      <w:pPr>
        <w:spacing w:after="0" w:line="245" w:lineRule="exact"/>
        <w:rPr>
          <w:sz w:val="24"/>
          <w:szCs w:val="24"/>
          <w:color w:val="auto"/>
        </w:rPr>
      </w:pPr>
    </w:p>
    <w:p>
      <w:pPr>
        <w:ind w:right="660"/>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2" w:lineRule="exact"/>
        <w:rPr>
          <w:sz w:val="24"/>
          <w:szCs w:val="24"/>
          <w:color w:val="auto"/>
        </w:rPr>
      </w:pPr>
    </w:p>
    <w:p>
      <w:pPr>
        <w:ind w:left="800" w:hanging="410"/>
        <w:spacing w:after="0"/>
        <w:tabs>
          <w:tab w:leader="none" w:pos="8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44" w:lineRule="exact"/>
        <w:rPr>
          <w:rFonts w:ascii="MS PGothic" w:cs="MS PGothic" w:eastAsia="MS PGothic" w:hAnsi="MS PGothic"/>
          <w:sz w:val="18"/>
          <w:szCs w:val="18"/>
          <w:color w:val="auto"/>
        </w:rPr>
      </w:pPr>
    </w:p>
    <w:p>
      <w:pPr>
        <w:ind w:left="800" w:hanging="410"/>
        <w:spacing w:after="0"/>
        <w:tabs>
          <w:tab w:leader="none" w:pos="8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800" w:hanging="410"/>
        <w:spacing w:after="0"/>
        <w:tabs>
          <w:tab w:leader="none" w:pos="8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left="800" w:hanging="410"/>
        <w:spacing w:after="0"/>
        <w:tabs>
          <w:tab w:leader="none" w:pos="8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4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Securities registered pursuant to Section 12(b) of the Securities Exchange Act of 1934:</w:t>
      </w:r>
    </w:p>
    <w:p>
      <w:pPr>
        <w:spacing w:after="0" w:line="117" w:lineRule="exact"/>
        <w:rPr>
          <w:sz w:val="24"/>
          <w:szCs w:val="24"/>
          <w:color w:val="auto"/>
        </w:rPr>
      </w:pPr>
    </w:p>
    <w:tbl>
      <w:tblPr>
        <w:tblLayout w:type="fixed"/>
        <w:tblInd w:w="1000" w:type="dxa"/>
        <w:tblCellMar>
          <w:top w:w="0" w:type="dxa"/>
          <w:left w:w="0" w:type="dxa"/>
          <w:bottom w:w="0" w:type="dxa"/>
          <w:right w:w="0" w:type="dxa"/>
        </w:tblCellMar>
      </w:tblPr>
      <w:tr>
        <w:trPr>
          <w:trHeight w:val="207"/>
        </w:trPr>
        <w:tc>
          <w:tcPr>
            <w:tcW w:w="48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980" w:type="dxa"/>
            <w:vAlign w:val="bottom"/>
          </w:tcPr>
          <w:p>
            <w:pPr>
              <w:spacing w:after="0"/>
              <w:rPr>
                <w:sz w:val="18"/>
                <w:szCs w:val="18"/>
                <w:color w:val="auto"/>
              </w:rPr>
            </w:pPr>
          </w:p>
        </w:tc>
        <w:tc>
          <w:tcPr>
            <w:tcW w:w="3080" w:type="dxa"/>
            <w:vAlign w:val="bottom"/>
            <w:gridSpan w:val="3"/>
          </w:tcPr>
          <w:p>
            <w:pPr>
              <w:jc w:val="center"/>
              <w:ind w:right="72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0"/>
        </w:trPr>
        <w:tc>
          <w:tcPr>
            <w:tcW w:w="4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250"/>
        </w:trPr>
        <w:tc>
          <w:tcPr>
            <w:tcW w:w="2760" w:type="dxa"/>
            <w:vAlign w:val="bottom"/>
            <w:gridSpan w:val="3"/>
          </w:tcPr>
          <w:p>
            <w:pPr>
              <w:jc w:val="center"/>
              <w:ind w:right="520"/>
              <w:spacing w:after="0"/>
              <w:rPr>
                <w:sz w:val="20"/>
                <w:szCs w:val="20"/>
                <w:color w:val="auto"/>
              </w:rPr>
            </w:pPr>
            <w:r>
              <w:rPr>
                <w:rFonts w:ascii="Times New Roman" w:cs="Times New Roman" w:eastAsia="Times New Roman" w:hAnsi="Times New Roman"/>
                <w:sz w:val="18"/>
                <w:szCs w:val="18"/>
                <w:color w:val="auto"/>
                <w:w w:val="99"/>
              </w:rPr>
              <w:t>Common Stock, $.01 par value</w:t>
            </w:r>
          </w:p>
        </w:tc>
        <w:tc>
          <w:tcPr>
            <w:tcW w:w="500" w:type="dxa"/>
            <w:vAlign w:val="bottom"/>
          </w:tcPr>
          <w:p>
            <w:pPr>
              <w:spacing w:after="0"/>
              <w:rPr>
                <w:sz w:val="21"/>
                <w:szCs w:val="21"/>
                <w:color w:val="auto"/>
              </w:rPr>
            </w:pPr>
          </w:p>
        </w:tc>
        <w:tc>
          <w:tcPr>
            <w:tcW w:w="2580" w:type="dxa"/>
            <w:vAlign w:val="bottom"/>
            <w:gridSpan w:val="2"/>
          </w:tcPr>
          <w:p>
            <w:pPr>
              <w:jc w:val="center"/>
              <w:ind w:right="1220"/>
              <w:spacing w:after="0"/>
              <w:rPr>
                <w:sz w:val="20"/>
                <w:szCs w:val="20"/>
                <w:color w:val="auto"/>
              </w:rPr>
            </w:pPr>
            <w:r>
              <w:rPr>
                <w:rFonts w:ascii="Times New Roman" w:cs="Times New Roman" w:eastAsia="Times New Roman" w:hAnsi="Times New Roman"/>
                <w:sz w:val="18"/>
                <w:szCs w:val="18"/>
                <w:color w:val="auto"/>
                <w:w w:val="99"/>
              </w:rPr>
              <w:t>KAI</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319" w:lineRule="exact"/>
        <w:rPr>
          <w:sz w:val="24"/>
          <w:szCs w:val="24"/>
          <w:color w:val="auto"/>
        </w:rPr>
      </w:pPr>
    </w:p>
    <w:p>
      <w:pPr>
        <w:ind w:right="500"/>
        <w:spacing w:after="0" w:line="25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9"/>
          <w:szCs w:val="19"/>
          <w:color w:val="auto"/>
        </w:rPr>
        <w:t>☐</w:t>
      </w:r>
    </w:p>
    <w:p>
      <w:pPr>
        <w:spacing w:after="0" w:line="204"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527050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0" w:right="359" w:bottom="1440" w:gutter="0" w:footer="0" w:header="0"/>
          <w:type w:val="continuous"/>
        </w:sectPr>
      </w:pPr>
    </w:p>
    <w:bookmarkStart w:id="1" w:name="page2"/>
    <w:bookmarkEnd w:id="1"/>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KADANT INC.</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May 20, 2026, Kadant Inc. (the Company) held its 2026 annual meeting of stockholders (2026 annual meeting). At the meeting,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stockholders voted on the following proposals:</w:t>
      </w:r>
    </w:p>
    <w:p>
      <w:pPr>
        <w:spacing w:after="0" w:line="139" w:lineRule="exact"/>
        <w:rPr>
          <w:sz w:val="20"/>
          <w:szCs w:val="20"/>
          <w:color w:val="auto"/>
        </w:rPr>
      </w:pPr>
    </w:p>
    <w:p>
      <w:pPr>
        <w:ind w:left="760" w:right="20" w:hanging="270"/>
        <w:spacing w:after="0" w:line="258" w:lineRule="auto"/>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stockholders elected two nominees, Dr. John M. Albertine and Mr. Thomas C. Leonard, to the class of directors whose three-year term expires at the Company's annual meeting of stockholders in 2029. The stockholders cast 9,217,159 shares in favor and 1,205,246 shares against Dr. Albertine's election. In addition, 3,364 shares abstained and 385,638 broker non-votes were recorded, which had no effect on the outcome of the vote. The stockholders cast 9,747,833 shares in favor and 670,294 shares against Mr. Leonard's election. In addition, 7,642 shares abstained and 385,638 broker non-votes were recorded, which had no effect on the outcome of the vote.</w:t>
      </w:r>
    </w:p>
    <w:p>
      <w:pPr>
        <w:spacing w:after="0" w:line="129" w:lineRule="exact"/>
        <w:rPr>
          <w:rFonts w:ascii="Times New Roman" w:cs="Times New Roman" w:eastAsia="Times New Roman" w:hAnsi="Times New Roman"/>
          <w:sz w:val="18"/>
          <w:szCs w:val="18"/>
          <w:color w:val="auto"/>
        </w:rPr>
      </w:pPr>
    </w:p>
    <w:p>
      <w:pPr>
        <w:jc w:val="both"/>
        <w:ind w:left="760" w:right="120" w:hanging="270"/>
        <w:spacing w:after="0" w:line="266" w:lineRule="auto"/>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stockholders approved a non-binding advisory resolution on the executive compensation of the Company’s named executive officers. The stockholders cast 9,830,900 shares in favor and 585,880 shares against this proposal. In addition, 8,989 shares abstained and 385,638 broker non-votes were recorded, which had no effect on the outcome of the vote.</w:t>
      </w:r>
    </w:p>
    <w:p>
      <w:pPr>
        <w:spacing w:after="0" w:line="135" w:lineRule="exact"/>
        <w:rPr>
          <w:rFonts w:ascii="Times New Roman" w:cs="Times New Roman" w:eastAsia="Times New Roman" w:hAnsi="Times New Roman"/>
          <w:sz w:val="18"/>
          <w:szCs w:val="18"/>
          <w:color w:val="auto"/>
        </w:rPr>
      </w:pPr>
    </w:p>
    <w:p>
      <w:pPr>
        <w:ind w:left="760" w:hanging="270"/>
        <w:spacing w:after="0" w:line="266" w:lineRule="auto"/>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stockholders ratified the selection of KPMG LLP as the Company’s independent registered accounting firm for the 2026 fiscal year. The stockholders cast 10,752,267 shares in favor and 51,038 shares against this proposal. In addition, 8,102 shares abstained, which had no effect on the outcome of the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1130" w:right="779" w:bottom="1440" w:gutter="0" w:footer="0" w:header="0"/>
        </w:sectPr>
      </w:pPr>
    </w:p>
    <w:bookmarkStart w:id="2" w:name="page3"/>
    <w:bookmarkEnd w:id="2"/>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KADANT INC.</w:t>
      </w:r>
    </w:p>
    <w:p>
      <w:pPr>
        <w:spacing w:after="0" w:line="25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ind w:firstLine="81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b w:val="1"/>
          <w:bCs w:val="1"/>
          <w:color w:val="auto"/>
        </w:rPr>
        <w:t>KADANT INC.</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20"/>
        <w:spacing w:after="0"/>
        <w:tabs>
          <w:tab w:leader="none" w:pos="5260" w:val="left"/>
        </w:tabs>
        <w:rPr>
          <w:sz w:val="20"/>
          <w:szCs w:val="20"/>
          <w:color w:val="auto"/>
        </w:rPr>
      </w:pPr>
      <w:r>
        <w:rPr>
          <w:rFonts w:ascii="Times New Roman" w:cs="Times New Roman" w:eastAsia="Times New Roman" w:hAnsi="Times New Roman"/>
          <w:sz w:val="18"/>
          <w:szCs w:val="18"/>
          <w:color w:val="auto"/>
        </w:rPr>
        <w:t>Date: May 26, 2026</w:t>
      </w:r>
      <w:r>
        <w:rPr>
          <w:sz w:val="20"/>
          <w:szCs w:val="20"/>
          <w:color w:val="auto"/>
        </w:rPr>
        <w:tab/>
      </w:r>
      <w:r>
        <w:rPr>
          <w:rFonts w:ascii="Times New Roman" w:cs="Times New Roman" w:eastAsia="Times New Roman" w:hAnsi="Times New Roman"/>
          <w:sz w:val="17"/>
          <w:szCs w:val="17"/>
          <w:color w:val="auto"/>
        </w:rPr>
        <w:t>By: /s/ Michael J. McKenney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3528060</wp:posOffset>
            </wp:positionH>
            <wp:positionV relativeFrom="paragraph">
              <wp:posOffset>17145</wp:posOffset>
            </wp:positionV>
            <wp:extent cx="36087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08705" cy="8255"/>
                    </a:xfrm>
                    <a:prstGeom prst="rect">
                      <a:avLst/>
                    </a:prstGeom>
                    <a:noFill/>
                  </pic:spPr>
                </pic:pic>
              </a:graphicData>
            </a:graphic>
          </wp:anchor>
        </w:drawing>
      </w:r>
    </w:p>
    <w:p>
      <w:pPr>
        <w:spacing w:after="0" w:line="3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Michael J. McKenney</w:t>
      </w:r>
    </w:p>
    <w:p>
      <w:pPr>
        <w:spacing w:after="0" w:line="2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sectPr>
      <w:pgSz w:w="11900" w:h="16838" w:orient="portrait"/>
      <w:cols w:equalWidth="0" w:num="1">
        <w:col w:w="11040"/>
      </w:cols>
      <w:pgMar w:left="320" w:top="887"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2026-05-26T15:39:32Z</dcterms:created>
  <dcterms:modified xsi:type="dcterms:W3CDTF">2026-05-26T15:39:32Z</dcterms:modified>
</cp:coreProperties>
</file>